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188" w:after="188" w:line="240" w:lineRule="auto"/>
        <w:ind w:left="0" w:right="0"/>
        <w:jc w:val="left"/>
        <w:outlineLvl w:val="0"/>
      </w:pPr>
      <w:r>
        <w:rPr>
          <w:rFonts w:ascii="Arial" w:hAnsi="Arial" w:eastAsia="Arial" w:cs="Arial"/>
          <w:b/>
          <w:bCs/>
          <w:color w:val="000000"/>
          <w:sz w:val="28"/>
          <w:szCs w:val="28"/>
        </w:rPr>
        <w:t xml:space="preserve">Betriebsvereinbarung zum Thema: Gefährdungsanalyse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Zwischen der Firma […]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und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dem Betriebsrat der Firma […]</w:t>
      </w:r>
    </w:p>
    <w:p>
      <w:pPr>
        <w:widowControl w:val="on"/>
        <w:pBdr/>
        <w:spacing w:before="216" w:after="216" w:line="240" w:lineRule="auto"/>
        <w:ind w:left="0" w:right="0"/>
        <w:jc w:val="left"/>
        <w:outlineLvl w:val="1"/>
      </w:pPr>
      <w:r>
        <w:rPr>
          <w:rFonts w:ascii="Arial" w:hAnsi="Arial" w:eastAsia="Arial" w:cs="Arial"/>
          <w:b/>
          <w:bCs/>
          <w:color w:val="000000"/>
          <w:sz w:val="26"/>
          <w:szCs w:val="26"/>
        </w:rPr>
        <w:t xml:space="preserve">Präambel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Gesundheitsschutz - § 5 ArbSchG</w:t>
      </w:r>
    </w:p>
    <w:p>
      <w:pPr>
        <w:widowControl w:val="on"/>
        <w:pBdr/>
        <w:spacing w:before="216" w:after="216" w:line="240" w:lineRule="auto"/>
        <w:ind w:left="0" w:right="0"/>
        <w:jc w:val="left"/>
        <w:outlineLvl w:val="1"/>
      </w:pPr>
      <w:r>
        <w:rPr>
          <w:rFonts w:ascii="Arial" w:hAnsi="Arial" w:eastAsia="Arial" w:cs="Arial"/>
          <w:b/>
          <w:bCs/>
          <w:color w:val="000000"/>
          <w:sz w:val="26"/>
          <w:szCs w:val="26"/>
        </w:rPr>
        <w:t xml:space="preserve">§ 1 Geltungsbereich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Für alle Arbeitnehmer</w:t>
      </w:r>
    </w:p>
    <w:p>
      <w:pPr>
        <w:widowControl w:val="on"/>
        <w:pBdr/>
        <w:spacing w:before="216" w:after="216" w:line="240" w:lineRule="auto"/>
        <w:ind w:left="0" w:right="0"/>
        <w:jc w:val="left"/>
        <w:outlineLvl w:val="1"/>
      </w:pPr>
      <w:r>
        <w:rPr>
          <w:rFonts w:ascii="Arial" w:hAnsi="Arial" w:eastAsia="Arial" w:cs="Arial"/>
          <w:b/>
          <w:bCs/>
          <w:color w:val="000000"/>
          <w:sz w:val="26"/>
          <w:szCs w:val="26"/>
        </w:rPr>
        <w:t xml:space="preserve">§ 2 Unterweisung und Qualifizierung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§ 12 ArbSchG; Jährliche Unterweisung; Vorgesetztenschulung; Dokumentation</w:t>
      </w:r>
    </w:p>
    <w:p>
      <w:pPr>
        <w:widowControl w:val="on"/>
        <w:pBdr/>
        <w:spacing w:before="216" w:after="216" w:line="240" w:lineRule="auto"/>
        <w:ind w:left="0" w:right="0"/>
        <w:jc w:val="left"/>
        <w:outlineLvl w:val="1"/>
      </w:pPr>
      <w:r>
        <w:rPr>
          <w:rFonts w:ascii="Arial" w:hAnsi="Arial" w:eastAsia="Arial" w:cs="Arial"/>
          <w:b/>
          <w:bCs/>
          <w:color w:val="000000"/>
          <w:sz w:val="26"/>
          <w:szCs w:val="26"/>
        </w:rPr>
        <w:t xml:space="preserve">§ 3 Gefährdungsbeurteilung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Analyse der Arbeitsbedingungen; Woraus kann sich Gefährdung ergeben</w:t>
      </w:r>
    </w:p>
    <w:p>
      <w:pPr>
        <w:widowControl w:val="on"/>
        <w:pBdr/>
        <w:spacing w:before="216" w:after="216" w:line="240" w:lineRule="auto"/>
        <w:ind w:left="0" w:right="0"/>
        <w:jc w:val="left"/>
        <w:outlineLvl w:val="1"/>
      </w:pPr>
      <w:r>
        <w:rPr>
          <w:rFonts w:ascii="Arial" w:hAnsi="Arial" w:eastAsia="Arial" w:cs="Arial"/>
          <w:b/>
          <w:bCs/>
          <w:color w:val="000000"/>
          <w:sz w:val="26"/>
          <w:szCs w:val="26"/>
        </w:rPr>
        <w:t xml:space="preserve">§ 4 Durchführung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Sicherheitsfachkraft; Beurteilungsteam; Befragung der Mitarbeiter mittels Fragebögen; Arbeitsplatzbegehung; Protokollierung der Gefährdungsbeurteilung</w:t>
      </w:r>
    </w:p>
    <w:p>
      <w:pPr>
        <w:widowControl w:val="on"/>
        <w:pBdr/>
        <w:spacing w:before="216" w:after="216" w:line="240" w:lineRule="auto"/>
        <w:ind w:left="0" w:right="0"/>
        <w:jc w:val="left"/>
        <w:outlineLvl w:val="1"/>
      </w:pPr>
      <w:r>
        <w:rPr>
          <w:rFonts w:ascii="Arial" w:hAnsi="Arial" w:eastAsia="Arial" w:cs="Arial"/>
          <w:b/>
          <w:bCs/>
          <w:color w:val="000000"/>
          <w:sz w:val="26"/>
          <w:szCs w:val="26"/>
        </w:rPr>
        <w:t xml:space="preserve">§ 5 Zeitpunkt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Bis wann erstmalige Durchführung einer Gefährdungsbeurteilung; Vorgehen bei Meldungen von Mitarbeitern oder Vorgesetzten; Hinweise aus BEM-Verfahren</w:t>
      </w:r>
    </w:p>
    <w:p>
      <w:pPr>
        <w:widowControl w:val="on"/>
        <w:pBdr/>
        <w:spacing w:before="216" w:after="216" w:line="240" w:lineRule="auto"/>
        <w:ind w:left="0" w:right="0"/>
        <w:jc w:val="left"/>
        <w:outlineLvl w:val="1"/>
      </w:pPr>
      <w:r>
        <w:rPr>
          <w:rFonts w:ascii="Arial" w:hAnsi="Arial" w:eastAsia="Arial" w:cs="Arial"/>
          <w:b/>
          <w:bCs/>
          <w:color w:val="000000"/>
          <w:sz w:val="26"/>
          <w:szCs w:val="26"/>
        </w:rPr>
        <w:t xml:space="preserve">§ 5 Datenschutz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Befragungen der Mitarbeiter sind arbeitsplatzbezogen und anonymisiert, wenn dennoch Zuordnung möglich, ist die Auswertung durch einen Betriebsfremden durchzuführen; Umgang mit personenbezogenen Daten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9788518">
    <w:multiLevelType w:val="hybridMultilevel"/>
    <w:lvl w:ilvl="0" w:tplc="86516576">
      <w:start w:val="1"/>
      <w:numFmt w:val="decimal"/>
      <w:lvlText w:val="%1."/>
      <w:lvlJc w:val="left"/>
      <w:pPr>
        <w:ind w:left="720" w:hanging="360"/>
      </w:pPr>
    </w:lvl>
    <w:lvl w:ilvl="1" w:tplc="86516576" w:tentative="1">
      <w:start w:val="1"/>
      <w:numFmt w:val="lowerLetter"/>
      <w:lvlText w:val="%2."/>
      <w:lvlJc w:val="left"/>
      <w:pPr>
        <w:ind w:left="1440" w:hanging="360"/>
      </w:pPr>
    </w:lvl>
    <w:lvl w:ilvl="2" w:tplc="86516576" w:tentative="1">
      <w:start w:val="1"/>
      <w:numFmt w:val="lowerRoman"/>
      <w:lvlText w:val="%3."/>
      <w:lvlJc w:val="right"/>
      <w:pPr>
        <w:ind w:left="2160" w:hanging="180"/>
      </w:pPr>
    </w:lvl>
    <w:lvl w:ilvl="3" w:tplc="86516576" w:tentative="1">
      <w:start w:val="1"/>
      <w:numFmt w:val="decimal"/>
      <w:lvlText w:val="%4."/>
      <w:lvlJc w:val="left"/>
      <w:pPr>
        <w:ind w:left="2880" w:hanging="360"/>
      </w:pPr>
    </w:lvl>
    <w:lvl w:ilvl="4" w:tplc="86516576" w:tentative="1">
      <w:start w:val="1"/>
      <w:numFmt w:val="lowerLetter"/>
      <w:lvlText w:val="%5."/>
      <w:lvlJc w:val="left"/>
      <w:pPr>
        <w:ind w:left="3600" w:hanging="360"/>
      </w:pPr>
    </w:lvl>
    <w:lvl w:ilvl="5" w:tplc="86516576" w:tentative="1">
      <w:start w:val="1"/>
      <w:numFmt w:val="lowerRoman"/>
      <w:lvlText w:val="%6."/>
      <w:lvlJc w:val="right"/>
      <w:pPr>
        <w:ind w:left="4320" w:hanging="180"/>
      </w:pPr>
    </w:lvl>
    <w:lvl w:ilvl="6" w:tplc="86516576" w:tentative="1">
      <w:start w:val="1"/>
      <w:numFmt w:val="decimal"/>
      <w:lvlText w:val="%7."/>
      <w:lvlJc w:val="left"/>
      <w:pPr>
        <w:ind w:left="5040" w:hanging="360"/>
      </w:pPr>
    </w:lvl>
    <w:lvl w:ilvl="7" w:tplc="86516576" w:tentative="1">
      <w:start w:val="1"/>
      <w:numFmt w:val="lowerLetter"/>
      <w:lvlText w:val="%8."/>
      <w:lvlJc w:val="left"/>
      <w:pPr>
        <w:ind w:left="5760" w:hanging="360"/>
      </w:pPr>
    </w:lvl>
    <w:lvl w:ilvl="8" w:tplc="865165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788517">
    <w:multiLevelType w:val="hybridMultilevel"/>
    <w:lvl w:ilvl="0" w:tplc="4689555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9788517">
    <w:abstractNumId w:val="89788517"/>
  </w:num>
  <w:num w:numId="89788518">
    <w:abstractNumId w:val="897885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